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AZƏRBAYCAN  RESPUBLİKASI</w:t>
      </w:r>
      <w:proofErr w:type="gram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ADINDAN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AZƏRBAYCAN  RESPUBLİKASI</w:t>
      </w:r>
      <w:proofErr w:type="gram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proofErr w:type="gram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KONSTİTUSİYA</w:t>
      </w:r>
      <w:bookmarkEnd w:id="0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MƏHKƏMƏSİNİN</w:t>
      </w:r>
      <w:proofErr w:type="gramEnd"/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Q  Ə</w:t>
      </w:r>
      <w:proofErr w:type="gram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R  A  R  I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25, 37-ci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maddələrinə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149-cu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uyğunluğu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haqqında</w:t>
      </w:r>
      <w:proofErr w:type="spellEnd"/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23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fevral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2000-ci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                                             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Bakı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şəhəri</w:t>
      </w:r>
      <w:proofErr w:type="spellEnd"/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X.Hacıyevin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Sədr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hakimlər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F.Babayev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B.Qəribov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R.Qvaladze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E.Məmmədov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S.Salmanova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Ə.Sul</w:t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tanovdan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məruzəçi-hakim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ibarət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tərkibdə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katibi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İ.İsmayılovun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sorğuverən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orqanın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nümayəndəsi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hakimi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Ş.Hidayevin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cavabverən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orqanın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nümayəndəsi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Milli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Məclisi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Aparatının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Ümumi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şöbəsi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müdirinin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müavini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İ.Əbdüləzizovun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mütəxəssislər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Həmkarlar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İttifaqları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Konfederasiyası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şöbəsin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müdiri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Ə.C.Əfəndiyev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Bakı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Dövlət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Universitetinin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ekologiya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kafedrasının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əməkdaşı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M.Əliyev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əhalinin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sosial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müdafiəsi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nazirliyinin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</w:t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quq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şöbəsinin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müdiri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V.Quliyev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siyasəti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idarəsinin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rəisi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T.Məmmədovanın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iştirakı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130-cu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III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müvafiq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olaraq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açıq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iclasında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icraatı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üzrə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37-ci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uyğunluğunun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yoxlanılmasına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dair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22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Dekabr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1999-cu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tarixli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05-499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saylı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sorğusu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bağlı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baxdı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üzrə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məruzəçi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hakim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Ə.Sultanovun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məruzəsini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sorğuverən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orqanın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nümayəndəsi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Ş.Hidayevin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cavabverən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orqanın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nümayəndəsi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İ.Əbdül</w:t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əzizo</w:t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vun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çıxışlarını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mütəxəssislər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Ə.C.Əfəndiyev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M.Əliyev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V.Quliyev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T.Məm</w:t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mə</w:t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do</w:t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vanın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rəylərini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dinləyib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müzakirə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edərək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M Ü Ə Y </w:t>
      </w:r>
      <w:proofErr w:type="spell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Y</w:t>
      </w:r>
      <w:proofErr w:type="spell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Ə </w:t>
      </w:r>
      <w:proofErr w:type="gram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N  E</w:t>
      </w:r>
      <w:proofErr w:type="gram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T D İ: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sorğuda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işəgötürənin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təşəbbüsü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çıxarma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zamanı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istifadə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olunmamış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verilərkən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70-ci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«a»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«ç»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bəndləri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çıxarılma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hallarının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istisna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aid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37-ci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uyğunluğunun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yoxlanılmasını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xahiş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Baxılan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məsələ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əlaqədar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materiallarına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Milli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Məclisi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Aparatında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təsdiq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mətni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sorğu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bağlı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aşağıdakıları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qeyd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müvafiq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illərinin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istifadə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etməmiş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xitam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verilərkən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arzusu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illəri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üçün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işdənçıxma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tarixi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günü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hesab</w:t>
      </w:r>
      <w:proofErr w:type="spellEnd"/>
      <w:proofErr w:type="gram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müddəalardan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istisnanı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yalnız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70-ci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«a»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«ç»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bəndlərində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tutulmuş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əsaslarla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çıxarılma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halları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təşkil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70-ci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«a»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ləğv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edilməsini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«ç»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özünün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funksiyasını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üzrə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öhdəliklərini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yerinə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yetirmədikdə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yaxud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72-ci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sadalanan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hallarda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vəzifələrini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kobud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şəkildə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pozduqda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işəgötürən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tərəfindən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ləğv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edilməsini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hesab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yuxarıda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göstərilən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hallarda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istifadə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hüququnun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məhdudlaşdırılması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qanunvericiliyinin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Beynəlxalq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aktların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sıra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normalarına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uyğun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deyildir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37-ci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kəsin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istirahət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vardır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Qanunverici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istirahət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növlərindən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kimi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hesab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edərək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normal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istirahəti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qabiliyyətinin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bərpası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sağlamlığının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mühafizəsi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möhkəmləndirilməsi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üçün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ayrılmaqla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öz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mülahizəsi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istifadə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etdiyi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müddəti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tutulandan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olmayan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istirahət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vaxtıdır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işləyənlərə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istirahət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hüququnun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növü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təminat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37-ci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işləyənlərə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qanunla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müəyyən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lakin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gündə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8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saatdan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artıq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olmayan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günü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istirahət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bayram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günləri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21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təqvim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günündən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olmayan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ödənişli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təmin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İnsan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Hüquqları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Haqqında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Ümumi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Bəyannamənin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24-cü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İqtisadi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Sosial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Mədəni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Hüquqlar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Haqqında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Beynəlxalq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Paktın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«d»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Ödənişli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məzuniyyətlər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haqqında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Beynəlxalq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Təşkilatı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Konvensiyasının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vaxtaşırı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ödənişli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istifdə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öz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əksini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tapmışdır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beynəlxalq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aktların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müddəalarını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götürərək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qanunverici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istifadə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hüququnu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təsbit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etmişdir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110-cu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vəzifəsindən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peşəsindən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şəraitindən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müddətindən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asılı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olmayaraq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müəyyən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məzuniyyətlərdən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istifadə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malikdirlər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Qanunvericinin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göstərişlərinə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istifadə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arasında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fərq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qoyulmadan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yaranır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müddəalara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zidd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olaraq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münasibətlərinə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xitam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verilərkən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hüququnun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həyata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keçirilməsini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ləğv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əsasları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fərqləndirir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fərqləndirmə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təsbit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bərabərlik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prinsipi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uyğunsuzluq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təşkil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Yuxarıda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göstərildiyi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kimi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70-ci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«a»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ləğv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əlaqədar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xitam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ləğv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təqsiri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üzündən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deyil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işəgötürənin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fəaliyyəti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bağlı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olduğundan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əsaslarla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münasibətlərinə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xitam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verilərkən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heç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təqsiri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olmadığı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halda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hüququndan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məhrum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barəsində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cəza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tədbirinin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tətbiqi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kimi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qiymətləndirilə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bilər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Qeyd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edildiyi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kimi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funksiyasını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üzrə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öhdəliklərini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yerinə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yetirməməsini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yaxud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vəzifələrini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kobud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surətdə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pozmasını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götürərək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münasibətlərinə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xitam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verilərkən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istisna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70-ci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«ç»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).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istisna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gətirib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çıxarır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faktiki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olaraq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cəzaya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məruz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qalır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çıxarılır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məhrum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144-cü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ikinci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tutulmuşdur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xitam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səbəbindən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əsasından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asılı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olmayaraq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işçiyə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çıxan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günədək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hansı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şərt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məhdudiyyət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qoyulmadan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istifadə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etmədiyi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bütün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illərnin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məzuniyyətlərinə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pul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əvəzi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ödənilməlidir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Lakin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əvəzinə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işçiyə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pul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ödənişi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verildikdə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o,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müəyyən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stajını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itirmiş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digər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nisbətən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hüquqları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məhdudlaşdırılır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111-ci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müddəalarına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olduğu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stajına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daxil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tutulan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istisnalar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qəbildən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digər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arasında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ayrıseçkilik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yaratmaqla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təsbit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bərabərlik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prinsipini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pozmuş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149-cu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I-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göstərilir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normativ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aktlar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haqq-ədalətə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bərabər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mənafelərə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bərabər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münasibətə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əsaslanmalıdır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baxımdan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70-ci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«a»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«ç»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bəndləri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bağlı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müddəaları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təsbit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olunmuş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normativ-hüquqi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aktların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haqq-ədalətə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əsaslanması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prinsipinə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müvafiq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deyildir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Yuxarıda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göstərilənlərə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əsasən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143-cü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70-ci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«a»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«ç»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bəndləri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bağlı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müddəaları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25, 37-ci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maddələrinə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149-cu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I-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uyğun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hesab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bilməz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130-cu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III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haqqında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Qanunun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75,76,78,80,82,83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85-ci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maddələrini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rəhbər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tutaraq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 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Q Ə R A R A</w:t>
      </w:r>
      <w:proofErr w:type="gram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  A</w:t>
      </w:r>
      <w:proofErr w:type="gram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L D I: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1. Azərbaycan Respublikası Əmək Məcəlləsinin 143-cü maddəsinin birinci hissəsinin, bu Məcəllənin 70-ci maddəsinin «a» və «ç» bəndləri ilə əlaqədar əmək münasibətlərinə xitam verilərkən məzuniyyət hüququnu məhdudlaşdıran müddəalar Azərbaycan Respublikası Konstitusiyasının 25, 37-ci maddələrinə və 149-cu maddəsinin I hissəsinə uyğun olmadığı üçün qüvvədən düşmüş hesab edilsin.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2. Qərar dərc edildiyi gündən qüvvəyə minir.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3. Bu qərarın qüvvəsi Azərbaycan Respublikasının qanunvericiliyində göstərilən iddia müddətləri nəzərə alınmaqla, qərar qəbul edilənədək yaranmış hüquq mü</w:t>
      </w:r>
      <w:r w:rsidRPr="00C1761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softHyphen/>
        <w:t>nasibətlərinə də şamil edilir.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4. Qərar «Azərbaycan» qəzetində dərc edilsin.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5. Qərar qətidir, heç bir orqan və ya vəzifəli şəxs tərəfindən ləğv edilə, dəyişdirilə və rəsmi təfsir edilə bilməz.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Sədrlik</w:t>
      </w:r>
      <w:proofErr w:type="spell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edən</w:t>
      </w:r>
      <w:proofErr w:type="spell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                                                                 </w:t>
      </w:r>
      <w:proofErr w:type="spell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Xanlar</w:t>
      </w:r>
      <w:proofErr w:type="spell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Hacıyev</w:t>
      </w:r>
      <w:proofErr w:type="spellEnd"/>
      <w:r w:rsidRPr="00C176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616" w:rsidRPr="00C17616" w:rsidRDefault="00C17616" w:rsidP="00C1761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00B3B" w:rsidRDefault="00300B3B"/>
    <w:sectPr w:rsidR="0030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F5"/>
    <w:rsid w:val="00300B3B"/>
    <w:rsid w:val="00B77BF5"/>
    <w:rsid w:val="00C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ADFE1-274C-46E8-A68D-93241678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 quliyev</dc:creator>
  <cp:keywords/>
  <dc:description/>
  <cp:lastModifiedBy>orxan quliyev</cp:lastModifiedBy>
  <cp:revision>3</cp:revision>
  <dcterms:created xsi:type="dcterms:W3CDTF">2017-09-11T19:22:00Z</dcterms:created>
  <dcterms:modified xsi:type="dcterms:W3CDTF">2017-09-11T19:23:00Z</dcterms:modified>
</cp:coreProperties>
</file>